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5C" w:rsidRPr="002F7B18" w:rsidRDefault="001E36FA" w:rsidP="001E36FA">
      <w:pPr>
        <w:jc w:val="center"/>
        <w:rPr>
          <w:noProof/>
          <w:lang w:eastAsia="fr-FR"/>
        </w:rPr>
      </w:pPr>
      <w:r w:rsidRPr="002F7B18">
        <w:rPr>
          <w:noProof/>
          <w:lang w:eastAsia="fr-FR"/>
        </w:rPr>
        <w:drawing>
          <wp:inline distT="0" distB="0" distL="0" distR="0" wp14:anchorId="2C102080" wp14:editId="01BB990F">
            <wp:extent cx="2955290" cy="723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38" w:rsidRPr="002F7B18" w:rsidRDefault="0008515C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fr-FR"/>
        </w:rPr>
      </w:pPr>
      <w:r w:rsidRPr="002F7B18">
        <w:rPr>
          <w:rFonts w:ascii="Times New Roman" w:eastAsia="Times New Roman" w:hAnsi="Times New Roman" w:cs="Times New Roman"/>
          <w:kern w:val="3"/>
          <w:lang w:eastAsia="fr-FR"/>
        </w:rPr>
        <w:t>Sociét</w:t>
      </w:r>
      <w:r w:rsidR="006C1F5E" w:rsidRPr="002F7B18">
        <w:rPr>
          <w:rFonts w:ascii="Times New Roman" w:eastAsia="Times New Roman" w:hAnsi="Times New Roman" w:cs="Times New Roman"/>
          <w:kern w:val="3"/>
          <w:lang w:eastAsia="fr-FR"/>
        </w:rPr>
        <w:t>é</w:t>
      </w:r>
      <w:r w:rsidR="005B3B4F">
        <w:rPr>
          <w:rFonts w:ascii="Times New Roman" w:eastAsia="Times New Roman" w:hAnsi="Times New Roman" w:cs="Times New Roman"/>
          <w:kern w:val="3"/>
          <w:lang w:eastAsia="fr-FR"/>
        </w:rPr>
        <w:t xml:space="preserve"> Anonyme au Capital Social de </w:t>
      </w:r>
      <w:r w:rsidR="005B3B4F">
        <w:rPr>
          <w:rFonts w:asciiTheme="majorBidi" w:hAnsiTheme="majorBidi" w:cstheme="majorBidi"/>
          <w:szCs w:val="24"/>
        </w:rPr>
        <w:t>153.680.600,00</w:t>
      </w:r>
      <w:r w:rsidRPr="002F7B18">
        <w:rPr>
          <w:rFonts w:ascii="Times New Roman" w:eastAsia="Times New Roman" w:hAnsi="Times New Roman" w:cs="Times New Roman"/>
          <w:kern w:val="3"/>
          <w:lang w:eastAsia="fr-FR"/>
        </w:rPr>
        <w:t xml:space="preserve"> de Dirhams</w:t>
      </w:r>
    </w:p>
    <w:p w:rsidR="003B321D" w:rsidRDefault="0008515C" w:rsidP="002F7B1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fr-FR"/>
        </w:rPr>
      </w:pPr>
      <w:r w:rsidRPr="002F7B18">
        <w:rPr>
          <w:rFonts w:ascii="Times New Roman" w:eastAsia="Times New Roman" w:hAnsi="Times New Roman" w:cs="Times New Roman"/>
          <w:kern w:val="3"/>
          <w:lang w:eastAsia="fr-FR"/>
        </w:rPr>
        <w:t xml:space="preserve">Siège Social : </w:t>
      </w:r>
      <w:r w:rsidR="005B3B4F" w:rsidRPr="00CD2762">
        <w:rPr>
          <w:rFonts w:asciiTheme="majorBidi" w:hAnsiTheme="majorBidi" w:cstheme="majorBidi"/>
          <w:szCs w:val="24"/>
        </w:rPr>
        <w:t>Zénith Rabat - Angle Rocade de Rabat et rue A</w:t>
      </w:r>
      <w:r w:rsidR="005B3B4F">
        <w:rPr>
          <w:rFonts w:asciiTheme="majorBidi" w:hAnsiTheme="majorBidi" w:cstheme="majorBidi"/>
          <w:szCs w:val="24"/>
        </w:rPr>
        <w:t xml:space="preserve">it Malek - Bâtiment C -Souissi- </w:t>
      </w:r>
      <w:r w:rsidRPr="002F7B18">
        <w:rPr>
          <w:rFonts w:ascii="Times New Roman" w:eastAsia="Times New Roman" w:hAnsi="Times New Roman" w:cs="Times New Roman"/>
          <w:kern w:val="3"/>
          <w:lang w:eastAsia="fr-FR"/>
        </w:rPr>
        <w:t>Rabat RC n° 68145</w:t>
      </w:r>
    </w:p>
    <w:p w:rsidR="002F7B18" w:rsidRDefault="002F7B18" w:rsidP="002F7B18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fr-FR"/>
        </w:rPr>
      </w:pPr>
    </w:p>
    <w:p w:rsidR="003C3C42" w:rsidRPr="002F7B18" w:rsidRDefault="003C3C42" w:rsidP="00583381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fr-FR"/>
        </w:rPr>
      </w:pPr>
    </w:p>
    <w:p w:rsidR="00B91938" w:rsidRDefault="0008515C" w:rsidP="00583381">
      <w:pPr>
        <w:pStyle w:val="Titre4"/>
        <w:ind w:left="426"/>
        <w:jc w:val="center"/>
        <w:rPr>
          <w:rFonts w:ascii="Times New Roman" w:hAnsi="Times New Roman"/>
          <w:color w:val="000080"/>
          <w:sz w:val="22"/>
          <w:szCs w:val="22"/>
          <w:u w:val="single"/>
        </w:rPr>
      </w:pPr>
      <w:r w:rsidRPr="002F7B18">
        <w:rPr>
          <w:rFonts w:ascii="Times New Roman" w:hAnsi="Times New Roman"/>
          <w:color w:val="000080"/>
          <w:sz w:val="22"/>
          <w:szCs w:val="22"/>
          <w:u w:val="single"/>
        </w:rPr>
        <w:t>AVIS DE REUNION</w:t>
      </w:r>
    </w:p>
    <w:p w:rsidR="00583381" w:rsidRPr="00583381" w:rsidRDefault="00583381" w:rsidP="00583381">
      <w:pPr>
        <w:spacing w:after="0"/>
        <w:rPr>
          <w:lang w:eastAsia="fr-FR"/>
        </w:rPr>
      </w:pPr>
    </w:p>
    <w:p w:rsidR="00F82BE9" w:rsidRDefault="0008515C" w:rsidP="00583381">
      <w:pPr>
        <w:pStyle w:val="Corpsdetexte"/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Messieurs les actionnaires de la société Royale d’Encouragement du Cheval,</w:t>
      </w:r>
      <w:r w:rsidR="006C1F5E" w:rsidRPr="002F7B18">
        <w:rPr>
          <w:sz w:val="22"/>
          <w:szCs w:val="22"/>
        </w:rPr>
        <w:t xml:space="preserve"> société anonyme au capital de</w:t>
      </w:r>
      <w:r w:rsidR="005B3B4F" w:rsidRPr="005B3B4F">
        <w:rPr>
          <w:sz w:val="22"/>
          <w:szCs w:val="22"/>
        </w:rPr>
        <w:t>153.680.600</w:t>
      </w:r>
      <w:r w:rsidR="006C1F5E" w:rsidRPr="002F7B18">
        <w:rPr>
          <w:sz w:val="22"/>
          <w:szCs w:val="22"/>
        </w:rPr>
        <w:t xml:space="preserve"> </w:t>
      </w:r>
      <w:r w:rsidRPr="002F7B18">
        <w:rPr>
          <w:sz w:val="22"/>
          <w:szCs w:val="22"/>
        </w:rPr>
        <w:t>dirhams sont convoqués en Asse</w:t>
      </w:r>
      <w:r w:rsidR="006C1F5E" w:rsidRPr="002F7B18">
        <w:rPr>
          <w:sz w:val="22"/>
          <w:szCs w:val="22"/>
        </w:rPr>
        <w:t>mblée générale ordinaire</w:t>
      </w:r>
      <w:r w:rsidR="00E75052" w:rsidRPr="002F7B18">
        <w:rPr>
          <w:sz w:val="22"/>
          <w:szCs w:val="22"/>
        </w:rPr>
        <w:t xml:space="preserve">, qui se tiendra </w:t>
      </w:r>
      <w:r w:rsidR="005B3B4F" w:rsidRPr="005B3B4F">
        <w:rPr>
          <w:sz w:val="22"/>
          <w:szCs w:val="22"/>
        </w:rPr>
        <w:t>au Ministère de l’Agriculture, de la Pêche Maritime, du Développement Rural et des Eaux et Forêts</w:t>
      </w:r>
      <w:r w:rsidR="005B3B4F">
        <w:rPr>
          <w:sz w:val="22"/>
          <w:szCs w:val="22"/>
        </w:rPr>
        <w:t xml:space="preserve"> à Rabat le : </w:t>
      </w:r>
    </w:p>
    <w:p w:rsidR="005B3B4F" w:rsidRPr="002F7B18" w:rsidRDefault="005B3B4F" w:rsidP="00583381">
      <w:pPr>
        <w:pStyle w:val="Corpsdetexte"/>
        <w:tabs>
          <w:tab w:val="clear" w:pos="2448"/>
        </w:tabs>
        <w:ind w:right="283"/>
        <w:rPr>
          <w:b/>
          <w:sz w:val="22"/>
          <w:szCs w:val="22"/>
        </w:rPr>
      </w:pPr>
    </w:p>
    <w:p w:rsidR="003C3C42" w:rsidRDefault="0008515C" w:rsidP="005B3B4F">
      <w:pPr>
        <w:pStyle w:val="Titre4"/>
        <w:ind w:left="426"/>
        <w:jc w:val="center"/>
        <w:rPr>
          <w:rFonts w:ascii="Times New Roman" w:hAnsi="Times New Roman"/>
          <w:color w:val="000080"/>
          <w:sz w:val="22"/>
          <w:szCs w:val="22"/>
          <w:u w:val="single"/>
        </w:rPr>
      </w:pPr>
      <w:r w:rsidRPr="002F7B18">
        <w:rPr>
          <w:bCs/>
          <w:sz w:val="22"/>
          <w:szCs w:val="22"/>
        </w:rPr>
        <w:t xml:space="preserve">           </w:t>
      </w:r>
      <w:r w:rsidR="005B3B4F">
        <w:rPr>
          <w:rFonts w:ascii="Times New Roman" w:hAnsi="Times New Roman"/>
          <w:color w:val="000080"/>
          <w:sz w:val="22"/>
          <w:szCs w:val="22"/>
          <w:u w:val="single"/>
        </w:rPr>
        <w:t xml:space="preserve">LUNDI  10 JUILLET </w:t>
      </w:r>
      <w:r w:rsidR="00252C8F" w:rsidRPr="002F7B18">
        <w:rPr>
          <w:rFonts w:ascii="Times New Roman" w:hAnsi="Times New Roman"/>
          <w:color w:val="000080"/>
          <w:sz w:val="22"/>
          <w:szCs w:val="22"/>
          <w:u w:val="single"/>
        </w:rPr>
        <w:t xml:space="preserve"> 20</w:t>
      </w:r>
      <w:r w:rsidR="005B3B4F">
        <w:rPr>
          <w:rFonts w:ascii="Times New Roman" w:hAnsi="Times New Roman"/>
          <w:color w:val="000080"/>
          <w:sz w:val="22"/>
          <w:szCs w:val="22"/>
          <w:u w:val="single"/>
        </w:rPr>
        <w:t>23</w:t>
      </w:r>
      <w:r w:rsidR="00F82BE9" w:rsidRPr="002F7B18">
        <w:rPr>
          <w:rFonts w:ascii="Times New Roman" w:hAnsi="Times New Roman"/>
          <w:color w:val="000080"/>
          <w:sz w:val="22"/>
          <w:szCs w:val="22"/>
          <w:u w:val="single"/>
        </w:rPr>
        <w:t xml:space="preserve"> </w:t>
      </w:r>
      <w:r w:rsidR="005B3B4F">
        <w:rPr>
          <w:rFonts w:ascii="Times New Roman" w:hAnsi="Times New Roman"/>
          <w:color w:val="000080"/>
          <w:sz w:val="22"/>
          <w:szCs w:val="22"/>
          <w:u w:val="single"/>
        </w:rPr>
        <w:t xml:space="preserve"> à  14</w:t>
      </w:r>
      <w:r w:rsidR="00252C8F" w:rsidRPr="002F7B18">
        <w:rPr>
          <w:rFonts w:ascii="Times New Roman" w:hAnsi="Times New Roman"/>
          <w:color w:val="000080"/>
          <w:sz w:val="22"/>
          <w:szCs w:val="22"/>
          <w:u w:val="single"/>
        </w:rPr>
        <w:t> : 0</w:t>
      </w:r>
      <w:r w:rsidR="007E3EA6" w:rsidRPr="002F7B18">
        <w:rPr>
          <w:rFonts w:ascii="Times New Roman" w:hAnsi="Times New Roman"/>
          <w:color w:val="000080"/>
          <w:sz w:val="22"/>
          <w:szCs w:val="22"/>
          <w:u w:val="single"/>
        </w:rPr>
        <w:t>0</w:t>
      </w:r>
      <w:r w:rsidRPr="002F7B18">
        <w:rPr>
          <w:rFonts w:ascii="Times New Roman" w:hAnsi="Times New Roman"/>
          <w:color w:val="000080"/>
          <w:sz w:val="22"/>
          <w:szCs w:val="22"/>
          <w:u w:val="single"/>
        </w:rPr>
        <w:t xml:space="preserve">  H</w:t>
      </w:r>
      <w:r w:rsidR="0018747B" w:rsidRPr="002F7B18">
        <w:rPr>
          <w:rFonts w:ascii="Times New Roman" w:hAnsi="Times New Roman"/>
          <w:color w:val="000080"/>
          <w:sz w:val="22"/>
          <w:szCs w:val="22"/>
          <w:u w:val="single"/>
        </w:rPr>
        <w:t>EURES</w:t>
      </w:r>
    </w:p>
    <w:p w:rsidR="005B3B4F" w:rsidRPr="005B3B4F" w:rsidRDefault="005B3B4F" w:rsidP="005B3B4F">
      <w:pPr>
        <w:rPr>
          <w:lang w:eastAsia="fr-FR"/>
        </w:rPr>
      </w:pPr>
    </w:p>
    <w:p w:rsidR="00B91938" w:rsidRPr="002F7B18" w:rsidRDefault="0008515C" w:rsidP="002F7B18">
      <w:pPr>
        <w:pStyle w:val="Corpsdetexte"/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En vue de délibérer et de statuer sur l'ordre du jour suivant :</w:t>
      </w:r>
    </w:p>
    <w:p w:rsidR="00B91938" w:rsidRPr="002F7B18" w:rsidRDefault="0008515C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Lecture des rapports du Conseil d'administration et du Commissaire aux comptes sur les comptes de l’e</w:t>
      </w:r>
      <w:r w:rsidR="005B3B4F">
        <w:rPr>
          <w:sz w:val="22"/>
          <w:szCs w:val="22"/>
        </w:rPr>
        <w:t>xercice clos au 31 Décembre 2022</w:t>
      </w:r>
      <w:r w:rsidRPr="002F7B18">
        <w:rPr>
          <w:sz w:val="22"/>
          <w:szCs w:val="22"/>
        </w:rPr>
        <w:t>, approbation desdits comptes ;</w:t>
      </w:r>
    </w:p>
    <w:p w:rsidR="00B91938" w:rsidRPr="002F7B18" w:rsidRDefault="0008515C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Quitus aux Administrateurs et au Commissaire aux comptes</w:t>
      </w:r>
      <w:r w:rsidR="00252C8F" w:rsidRPr="002F7B18">
        <w:rPr>
          <w:sz w:val="22"/>
          <w:szCs w:val="22"/>
        </w:rPr>
        <w:t xml:space="preserve"> </w:t>
      </w:r>
      <w:r w:rsidRPr="002F7B18">
        <w:rPr>
          <w:sz w:val="22"/>
          <w:szCs w:val="22"/>
        </w:rPr>
        <w:t xml:space="preserve">; </w:t>
      </w:r>
    </w:p>
    <w:p w:rsidR="00B91938" w:rsidRPr="002F7B18" w:rsidRDefault="00F40F91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Rapport spécial</w:t>
      </w:r>
      <w:r w:rsidR="0008515C" w:rsidRPr="002F7B18">
        <w:rPr>
          <w:sz w:val="22"/>
          <w:szCs w:val="22"/>
        </w:rPr>
        <w:t xml:space="preserve"> du Commissaire aux Comptes sur les conventions visées à l’article 56 de la Loi 17.95 telle que modifi</w:t>
      </w:r>
      <w:r w:rsidR="00F82BE9" w:rsidRPr="002F7B18">
        <w:rPr>
          <w:sz w:val="22"/>
          <w:szCs w:val="22"/>
        </w:rPr>
        <w:t xml:space="preserve">ée et complétée </w:t>
      </w:r>
      <w:r w:rsidR="0008515C" w:rsidRPr="002F7B18">
        <w:rPr>
          <w:sz w:val="22"/>
          <w:szCs w:val="22"/>
        </w:rPr>
        <w:t xml:space="preserve">; </w:t>
      </w:r>
    </w:p>
    <w:p w:rsidR="00B91938" w:rsidRPr="002F7B18" w:rsidRDefault="0008515C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Approbation des opérations conclues ou exécutées au cours de l’exercice </w:t>
      </w:r>
      <w:r w:rsidR="005B3B4F">
        <w:rPr>
          <w:sz w:val="22"/>
          <w:szCs w:val="22"/>
        </w:rPr>
        <w:t>2022</w:t>
      </w:r>
      <w:r w:rsidR="00E46E4D">
        <w:rPr>
          <w:sz w:val="22"/>
          <w:szCs w:val="22"/>
        </w:rPr>
        <w:t xml:space="preserve"> </w:t>
      </w:r>
      <w:r w:rsidRPr="002F7B18">
        <w:rPr>
          <w:sz w:val="22"/>
          <w:szCs w:val="22"/>
        </w:rPr>
        <w:t xml:space="preserve">; </w:t>
      </w:r>
    </w:p>
    <w:p w:rsidR="00037F6C" w:rsidRDefault="0008515C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Affectation des résultats ;</w:t>
      </w:r>
    </w:p>
    <w:p w:rsidR="00B91938" w:rsidRDefault="00673FB6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>
        <w:rPr>
          <w:sz w:val="22"/>
          <w:szCs w:val="22"/>
        </w:rPr>
        <w:t>Prise Acte de fin de mandat</w:t>
      </w:r>
      <w:r w:rsidR="00037F6C">
        <w:rPr>
          <w:sz w:val="22"/>
          <w:szCs w:val="22"/>
        </w:rPr>
        <w:t xml:space="preserve"> d’un Administrateur ;</w:t>
      </w:r>
      <w:r w:rsidR="0008515C" w:rsidRPr="002F7B18">
        <w:rPr>
          <w:sz w:val="22"/>
          <w:szCs w:val="22"/>
        </w:rPr>
        <w:t xml:space="preserve"> </w:t>
      </w:r>
    </w:p>
    <w:p w:rsidR="00F53720" w:rsidRPr="00F53720" w:rsidRDefault="00F53720" w:rsidP="00F53720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 w:rsidRPr="00F53720">
        <w:rPr>
          <w:sz w:val="22"/>
          <w:szCs w:val="22"/>
        </w:rPr>
        <w:t>Nomination d</w:t>
      </w:r>
      <w:r>
        <w:rPr>
          <w:sz w:val="22"/>
          <w:szCs w:val="22"/>
        </w:rPr>
        <w:t xml:space="preserve">e nouveaux </w:t>
      </w:r>
      <w:r w:rsidRPr="00F53720">
        <w:rPr>
          <w:sz w:val="22"/>
          <w:szCs w:val="22"/>
        </w:rPr>
        <w:t>Administrateur</w:t>
      </w:r>
      <w:r>
        <w:rPr>
          <w:sz w:val="22"/>
          <w:szCs w:val="22"/>
        </w:rPr>
        <w:t>s</w:t>
      </w:r>
      <w:r w:rsidRPr="00F53720">
        <w:rPr>
          <w:sz w:val="22"/>
          <w:szCs w:val="22"/>
        </w:rPr>
        <w:t xml:space="preserve"> ; </w:t>
      </w:r>
    </w:p>
    <w:p w:rsidR="0078738F" w:rsidRDefault="0078738F" w:rsidP="00F53720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>
        <w:rPr>
          <w:sz w:val="22"/>
          <w:szCs w:val="22"/>
        </w:rPr>
        <w:t>Changement du Représentant de l’Etat Actio</w:t>
      </w:r>
      <w:bookmarkStart w:id="0" w:name="_GoBack"/>
      <w:bookmarkEnd w:id="0"/>
      <w:r>
        <w:rPr>
          <w:sz w:val="22"/>
          <w:szCs w:val="22"/>
        </w:rPr>
        <w:t xml:space="preserve">nnaire ; </w:t>
      </w:r>
    </w:p>
    <w:p w:rsidR="00F53720" w:rsidRPr="00F53720" w:rsidRDefault="00F53720" w:rsidP="00F53720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Renouvellement du mandat du Commissaire aux Comptes ; </w:t>
      </w:r>
    </w:p>
    <w:p w:rsidR="003B321D" w:rsidRPr="001E36FA" w:rsidRDefault="003B321D" w:rsidP="001E36FA">
      <w:pPr>
        <w:pStyle w:val="Corpsdetexte"/>
        <w:numPr>
          <w:ilvl w:val="0"/>
          <w:numId w:val="1"/>
        </w:numPr>
        <w:tabs>
          <w:tab w:val="clear" w:pos="2448"/>
        </w:tabs>
        <w:ind w:right="283"/>
        <w:rPr>
          <w:sz w:val="22"/>
          <w:szCs w:val="22"/>
        </w:rPr>
      </w:pPr>
      <w:r w:rsidRPr="002F7B18">
        <w:rPr>
          <w:sz w:val="22"/>
          <w:szCs w:val="22"/>
        </w:rPr>
        <w:t>Pouvoirs à conférer.</w:t>
      </w:r>
    </w:p>
    <w:p w:rsidR="003C3C42" w:rsidRDefault="003C3C42" w:rsidP="00FD2EA3">
      <w:pPr>
        <w:tabs>
          <w:tab w:val="left" w:pos="288"/>
          <w:tab w:val="left" w:pos="567"/>
          <w:tab w:val="left" w:pos="1296"/>
        </w:tabs>
        <w:spacing w:after="0" w:line="240" w:lineRule="exact"/>
        <w:ind w:right="283"/>
        <w:jc w:val="both"/>
        <w:rPr>
          <w:rFonts w:ascii="Times" w:hAnsi="Times"/>
          <w:b/>
          <w:bCs/>
          <w:u w:val="single"/>
        </w:rPr>
      </w:pPr>
    </w:p>
    <w:p w:rsidR="00E46E4D" w:rsidRDefault="00E46E4D" w:rsidP="00FD2EA3">
      <w:pPr>
        <w:tabs>
          <w:tab w:val="left" w:pos="288"/>
          <w:tab w:val="left" w:pos="567"/>
          <w:tab w:val="left" w:pos="1296"/>
        </w:tabs>
        <w:spacing w:after="0" w:line="240" w:lineRule="exact"/>
        <w:ind w:right="283"/>
        <w:jc w:val="both"/>
        <w:rPr>
          <w:rFonts w:ascii="Times" w:hAnsi="Times"/>
          <w:b/>
          <w:bCs/>
          <w:u w:val="single"/>
        </w:rPr>
      </w:pPr>
    </w:p>
    <w:p w:rsidR="000E0FF4" w:rsidRPr="002F7B18" w:rsidRDefault="000E0FF4" w:rsidP="00FD2EA3">
      <w:pPr>
        <w:tabs>
          <w:tab w:val="left" w:pos="288"/>
          <w:tab w:val="left" w:pos="567"/>
          <w:tab w:val="left" w:pos="1296"/>
        </w:tabs>
        <w:spacing w:after="0" w:line="240" w:lineRule="exact"/>
        <w:ind w:right="283"/>
        <w:jc w:val="both"/>
        <w:rPr>
          <w:rFonts w:ascii="Times" w:hAnsi="Times"/>
          <w:b/>
          <w:bCs/>
          <w:u w:val="single"/>
        </w:rPr>
      </w:pPr>
      <w:r w:rsidRPr="002F7B18">
        <w:rPr>
          <w:rFonts w:ascii="Times" w:hAnsi="Times"/>
          <w:b/>
          <w:bCs/>
          <w:u w:val="single"/>
        </w:rPr>
        <w:t>Modalités de vote à l’Assemblée Générale</w:t>
      </w:r>
    </w:p>
    <w:p w:rsidR="00C658D9" w:rsidRPr="002F7B18" w:rsidRDefault="0082227B" w:rsidP="00F53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F7B18">
        <w:rPr>
          <w:rFonts w:ascii="Times New Roman" w:eastAsia="Times New Roman" w:hAnsi="Times New Roman" w:cs="Times New Roman"/>
          <w:lang w:eastAsia="fr-FR"/>
        </w:rPr>
        <w:t xml:space="preserve">Les actionnaires présents à l’Assemblée Générale participent en leur nom propre, au vote du projet des résolutions qui leur sont soumises. Ils peuvent également participer à ce vote au nom des actionnaires représentés, suivant les modalités ci-après définies. </w:t>
      </w:r>
    </w:p>
    <w:p w:rsidR="00BF359F" w:rsidRDefault="00BF359F" w:rsidP="0063682D">
      <w:pPr>
        <w:spacing w:after="0"/>
        <w:jc w:val="both"/>
        <w:rPr>
          <w:rFonts w:ascii="Times" w:hAnsi="Times"/>
          <w:b/>
          <w:bCs/>
          <w:u w:val="single"/>
        </w:rPr>
      </w:pPr>
    </w:p>
    <w:p w:rsidR="00C658D9" w:rsidRPr="002F7B18" w:rsidRDefault="00C658D9" w:rsidP="00F53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F7B18">
        <w:rPr>
          <w:rFonts w:ascii="Times" w:hAnsi="Times"/>
          <w:b/>
          <w:bCs/>
          <w:u w:val="single"/>
        </w:rPr>
        <w:t>Vote par procuration</w:t>
      </w:r>
      <w:r w:rsidRPr="002F7B18">
        <w:rPr>
          <w:rStyle w:val="A2"/>
          <w:rFonts w:cs="Times New Roman"/>
          <w:i/>
          <w:iCs/>
          <w:sz w:val="22"/>
          <w:szCs w:val="22"/>
        </w:rPr>
        <w:t xml:space="preserve"> : </w:t>
      </w:r>
      <w:r w:rsidRPr="002F7B18">
        <w:rPr>
          <w:rFonts w:ascii="Times New Roman" w:eastAsia="Times New Roman" w:hAnsi="Times New Roman" w:cs="Times New Roman"/>
          <w:lang w:eastAsia="fr-FR"/>
        </w:rPr>
        <w:t xml:space="preserve">Les actionnaires qui ne peuvent pas participer à cette Assemblée, peuvent se faire représenter par une autre personne en procédant à la signature d’un pouvoir dont le modèle </w:t>
      </w:r>
      <w:r w:rsidR="00F53720">
        <w:rPr>
          <w:rFonts w:ascii="Times New Roman" w:eastAsia="Times New Roman" w:hAnsi="Times New Roman" w:cs="Times New Roman"/>
          <w:lang w:eastAsia="fr-FR"/>
        </w:rPr>
        <w:t xml:space="preserve">le sera remis avec la lettre de convocation ou </w:t>
      </w:r>
      <w:r w:rsidRPr="002F7B18">
        <w:rPr>
          <w:rFonts w:ascii="Times New Roman" w:eastAsia="Times New Roman" w:hAnsi="Times New Roman" w:cs="Times New Roman"/>
          <w:lang w:eastAsia="fr-FR"/>
        </w:rPr>
        <w:t xml:space="preserve">peut être téléchargé </w:t>
      </w:r>
      <w:r w:rsidR="00CF250E" w:rsidRPr="002F7B18">
        <w:rPr>
          <w:rFonts w:ascii="Times New Roman" w:eastAsia="Times New Roman" w:hAnsi="Times New Roman" w:cs="Times New Roman"/>
          <w:lang w:eastAsia="fr-FR"/>
        </w:rPr>
        <w:t>sur le site internet de la SOREC</w:t>
      </w:r>
      <w:r w:rsidR="00BC7B4E" w:rsidRPr="002F7B18">
        <w:rPr>
          <w:rFonts w:ascii="Times New Roman" w:eastAsia="Times New Roman" w:hAnsi="Times New Roman" w:cs="Times New Roman"/>
          <w:lang w:eastAsia="fr-FR"/>
        </w:rPr>
        <w:t> </w:t>
      </w:r>
      <w:hyperlink r:id="rId8" w:history="1">
        <w:r w:rsidR="00BC7B4E" w:rsidRPr="002F7B18">
          <w:rPr>
            <w:rStyle w:val="Lienhypertexte"/>
            <w:rFonts w:ascii="Times New Roman" w:eastAsia="Times New Roman" w:hAnsi="Times New Roman"/>
            <w:lang w:eastAsia="fr-FR"/>
          </w:rPr>
          <w:t>www.sorec.ma</w:t>
        </w:r>
      </w:hyperlink>
      <w:r w:rsidRPr="002F7B18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2F7B18">
        <w:rPr>
          <w:rFonts w:ascii="Times New Roman" w:eastAsia="Times New Roman" w:hAnsi="Times New Roman"/>
          <w:lang w:eastAsia="fr-FR"/>
        </w:rPr>
        <w:t xml:space="preserve">La procuration </w:t>
      </w:r>
      <w:r w:rsidR="00E7166B" w:rsidRPr="002F7B18">
        <w:rPr>
          <w:rFonts w:ascii="Times New Roman" w:eastAsia="Times New Roman" w:hAnsi="Times New Roman"/>
          <w:lang w:eastAsia="fr-FR"/>
        </w:rPr>
        <w:t xml:space="preserve">doit </w:t>
      </w:r>
      <w:r w:rsidRPr="002F7B18">
        <w:rPr>
          <w:rFonts w:ascii="Times New Roman" w:eastAsia="Times New Roman" w:hAnsi="Times New Roman"/>
          <w:lang w:eastAsia="fr-FR"/>
        </w:rPr>
        <w:t>être soit envoyée par courrier recommandé avec accusé de réception, soit déposée cont</w:t>
      </w:r>
      <w:r w:rsidR="00BC7B4E" w:rsidRPr="002F7B18">
        <w:rPr>
          <w:rFonts w:ascii="Times New Roman" w:eastAsia="Times New Roman" w:hAnsi="Times New Roman"/>
          <w:lang w:eastAsia="fr-FR"/>
        </w:rPr>
        <w:t>re</w:t>
      </w:r>
      <w:r w:rsidR="0076761E">
        <w:rPr>
          <w:rFonts w:ascii="Times New Roman" w:eastAsia="Times New Roman" w:hAnsi="Times New Roman"/>
          <w:lang w:eastAsia="fr-FR"/>
        </w:rPr>
        <w:t xml:space="preserve"> accusé</w:t>
      </w:r>
      <w:r w:rsidR="00BC7B4E" w:rsidRPr="002F7B18">
        <w:rPr>
          <w:rFonts w:ascii="Times New Roman" w:eastAsia="Times New Roman" w:hAnsi="Times New Roman"/>
          <w:lang w:eastAsia="fr-FR"/>
        </w:rPr>
        <w:t>, à la SOREC</w:t>
      </w:r>
      <w:r w:rsidRPr="002F7B18">
        <w:rPr>
          <w:rFonts w:ascii="Times New Roman" w:eastAsia="Times New Roman" w:hAnsi="Times New Roman"/>
          <w:lang w:eastAsia="fr-FR"/>
        </w:rPr>
        <w:t xml:space="preserve"> à </w:t>
      </w:r>
      <w:r w:rsidR="00E7166B" w:rsidRPr="002F7B18">
        <w:rPr>
          <w:rFonts w:ascii="Times New Roman" w:eastAsia="Times New Roman" w:hAnsi="Times New Roman"/>
          <w:lang w:eastAsia="fr-FR"/>
        </w:rPr>
        <w:t>Zénith Rabat-Angle Rocade de Rabat et rue ait Malek, Bâtiment C Souisi – Rabat</w:t>
      </w:r>
      <w:r w:rsidRPr="002F7B18">
        <w:rPr>
          <w:rFonts w:ascii="Times New Roman" w:eastAsia="Times New Roman" w:hAnsi="Times New Roman"/>
          <w:lang w:eastAsia="fr-FR"/>
        </w:rPr>
        <w:t>, deux (2) jours au moins avant la réunion de l’Assemblée Générale.</w:t>
      </w:r>
      <w:r w:rsidRPr="002F7B18">
        <w:rPr>
          <w:rStyle w:val="A2"/>
          <w:rFonts w:cs="Times New Roman"/>
          <w:sz w:val="22"/>
          <w:szCs w:val="22"/>
        </w:rPr>
        <w:t xml:space="preserve"> </w:t>
      </w:r>
    </w:p>
    <w:p w:rsidR="00C704F7" w:rsidRDefault="00C704F7" w:rsidP="003C3C42">
      <w:pPr>
        <w:pStyle w:val="Pa3"/>
        <w:spacing w:before="100"/>
        <w:ind w:left="4956" w:firstLine="708"/>
        <w:jc w:val="both"/>
        <w:rPr>
          <w:rFonts w:ascii="Times New Roman" w:hAnsi="Times New Roman"/>
          <w:sz w:val="22"/>
          <w:szCs w:val="22"/>
        </w:rPr>
      </w:pPr>
    </w:p>
    <w:p w:rsidR="0063682D" w:rsidRPr="0063682D" w:rsidRDefault="003C3C42" w:rsidP="003C3C42">
      <w:pPr>
        <w:pStyle w:val="Pa3"/>
        <w:spacing w:before="100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3682D" w:rsidRPr="0063682D">
        <w:rPr>
          <w:rFonts w:ascii="Times New Roman" w:hAnsi="Times New Roman"/>
          <w:b/>
          <w:bCs/>
        </w:rPr>
        <w:t>Le Conseil d’Administration</w:t>
      </w:r>
    </w:p>
    <w:sectPr w:rsidR="0063682D" w:rsidRPr="0063682D" w:rsidSect="00F0549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05" w:rsidRDefault="00794405">
      <w:pPr>
        <w:spacing w:after="0" w:line="240" w:lineRule="auto"/>
      </w:pPr>
      <w:r>
        <w:separator/>
      </w:r>
    </w:p>
  </w:endnote>
  <w:endnote w:type="continuationSeparator" w:id="0">
    <w:p w:rsidR="00794405" w:rsidRDefault="0079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G Times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Lt">
    <w:altName w:val="Bre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05" w:rsidRDefault="007944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4405" w:rsidRDefault="0079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7pt;height:10.7pt" o:bullet="t">
        <v:imagedata r:id="rId1" o:title="mso6463"/>
      </v:shape>
    </w:pict>
  </w:numPicBullet>
  <w:numPicBullet w:numPicBulletId="1">
    <w:pict>
      <v:shape id="_x0000_i1037" type="#_x0000_t75" style="width:10.7pt;height:10.7pt" o:bullet="t">
        <v:imagedata r:id="rId2" o:title="mso72EE"/>
      </v:shape>
    </w:pict>
  </w:numPicBullet>
  <w:abstractNum w:abstractNumId="0" w15:restartNumberingAfterBreak="0">
    <w:nsid w:val="08500D44"/>
    <w:multiLevelType w:val="multilevel"/>
    <w:tmpl w:val="47C2597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FB00EC"/>
    <w:multiLevelType w:val="hybridMultilevel"/>
    <w:tmpl w:val="3D14A2A8"/>
    <w:lvl w:ilvl="0" w:tplc="040C0007">
      <w:start w:val="1"/>
      <w:numFmt w:val="bullet"/>
      <w:lvlText w:val=""/>
      <w:lvlPicBulletId w:val="1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E8C1665"/>
    <w:multiLevelType w:val="hybridMultilevel"/>
    <w:tmpl w:val="E95AE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38"/>
    <w:rsid w:val="00037F6C"/>
    <w:rsid w:val="00083A19"/>
    <w:rsid w:val="0008515C"/>
    <w:rsid w:val="00095AC3"/>
    <w:rsid w:val="000E0FF4"/>
    <w:rsid w:val="000E14FE"/>
    <w:rsid w:val="0010779F"/>
    <w:rsid w:val="00114809"/>
    <w:rsid w:val="00114F10"/>
    <w:rsid w:val="00124313"/>
    <w:rsid w:val="00153E04"/>
    <w:rsid w:val="0018747B"/>
    <w:rsid w:val="001E36FA"/>
    <w:rsid w:val="0021640F"/>
    <w:rsid w:val="0024175B"/>
    <w:rsid w:val="00252C8F"/>
    <w:rsid w:val="002D1F71"/>
    <w:rsid w:val="002F131D"/>
    <w:rsid w:val="002F7B18"/>
    <w:rsid w:val="003B10DC"/>
    <w:rsid w:val="003B321D"/>
    <w:rsid w:val="003C07FB"/>
    <w:rsid w:val="003C3C42"/>
    <w:rsid w:val="00410D0C"/>
    <w:rsid w:val="00411F20"/>
    <w:rsid w:val="00551B76"/>
    <w:rsid w:val="0055681B"/>
    <w:rsid w:val="00566CBC"/>
    <w:rsid w:val="00583381"/>
    <w:rsid w:val="00591C40"/>
    <w:rsid w:val="005A7369"/>
    <w:rsid w:val="005B3B4F"/>
    <w:rsid w:val="005E77DC"/>
    <w:rsid w:val="006000DF"/>
    <w:rsid w:val="0063682D"/>
    <w:rsid w:val="00656155"/>
    <w:rsid w:val="00673FB6"/>
    <w:rsid w:val="006B4011"/>
    <w:rsid w:val="006C1F5E"/>
    <w:rsid w:val="006F3743"/>
    <w:rsid w:val="0076761E"/>
    <w:rsid w:val="0078738F"/>
    <w:rsid w:val="00794405"/>
    <w:rsid w:val="007A490C"/>
    <w:rsid w:val="007A50ED"/>
    <w:rsid w:val="007A71A6"/>
    <w:rsid w:val="007A7D07"/>
    <w:rsid w:val="007B6948"/>
    <w:rsid w:val="007E3EA6"/>
    <w:rsid w:val="007E5312"/>
    <w:rsid w:val="00800443"/>
    <w:rsid w:val="0082227B"/>
    <w:rsid w:val="00842100"/>
    <w:rsid w:val="00856D4A"/>
    <w:rsid w:val="00894ECF"/>
    <w:rsid w:val="008D6EAB"/>
    <w:rsid w:val="008E38DE"/>
    <w:rsid w:val="008F545C"/>
    <w:rsid w:val="008F6076"/>
    <w:rsid w:val="00901C9F"/>
    <w:rsid w:val="009B7794"/>
    <w:rsid w:val="009E7520"/>
    <w:rsid w:val="00A05285"/>
    <w:rsid w:val="00A20466"/>
    <w:rsid w:val="00A327C6"/>
    <w:rsid w:val="00A3538C"/>
    <w:rsid w:val="00AA163B"/>
    <w:rsid w:val="00AB45F9"/>
    <w:rsid w:val="00B2465F"/>
    <w:rsid w:val="00B91938"/>
    <w:rsid w:val="00BC7B4E"/>
    <w:rsid w:val="00BE64C7"/>
    <w:rsid w:val="00BF359F"/>
    <w:rsid w:val="00C658D9"/>
    <w:rsid w:val="00C665F0"/>
    <w:rsid w:val="00C704F7"/>
    <w:rsid w:val="00C72EE0"/>
    <w:rsid w:val="00C870F9"/>
    <w:rsid w:val="00CB6FB3"/>
    <w:rsid w:val="00CC2275"/>
    <w:rsid w:val="00CD705A"/>
    <w:rsid w:val="00CE2A69"/>
    <w:rsid w:val="00CF250E"/>
    <w:rsid w:val="00D04464"/>
    <w:rsid w:val="00D30895"/>
    <w:rsid w:val="00D5502C"/>
    <w:rsid w:val="00D909B3"/>
    <w:rsid w:val="00DD24E6"/>
    <w:rsid w:val="00DE1DC9"/>
    <w:rsid w:val="00DE2710"/>
    <w:rsid w:val="00DE4186"/>
    <w:rsid w:val="00E22A66"/>
    <w:rsid w:val="00E46E4D"/>
    <w:rsid w:val="00E7166B"/>
    <w:rsid w:val="00E75052"/>
    <w:rsid w:val="00EB480D"/>
    <w:rsid w:val="00F0549C"/>
    <w:rsid w:val="00F40F91"/>
    <w:rsid w:val="00F53720"/>
    <w:rsid w:val="00F82BE9"/>
    <w:rsid w:val="00FA69B9"/>
    <w:rsid w:val="00FC065C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1CA9"/>
  <w15:docId w15:val="{74F2EF62-8B87-481B-9FB5-BA8E315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0549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82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rsid w:val="00F054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rsid w:val="00F0549C"/>
    <w:pPr>
      <w:keepNext/>
      <w:tabs>
        <w:tab w:val="left" w:pos="1728"/>
        <w:tab w:val="left" w:pos="2880"/>
      </w:tabs>
      <w:spacing w:after="0" w:line="240" w:lineRule="auto"/>
      <w:ind w:left="567" w:right="703"/>
      <w:jc w:val="both"/>
      <w:outlineLvl w:val="3"/>
    </w:pPr>
    <w:rPr>
      <w:rFonts w:ascii="CG Times (W1)" w:eastAsia="Times New Roman" w:hAnsi="CG Times (W1)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rsid w:val="00F0549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sid w:val="00F0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F0549C"/>
    <w:rPr>
      <w:rFonts w:ascii="Tahoma" w:hAnsi="Tahoma" w:cs="Tahoma"/>
      <w:sz w:val="16"/>
      <w:szCs w:val="16"/>
    </w:rPr>
  </w:style>
  <w:style w:type="character" w:customStyle="1" w:styleId="Titre4Car">
    <w:name w:val="Titre 4 Car"/>
    <w:rsid w:val="00F0549C"/>
    <w:rPr>
      <w:rFonts w:ascii="CG Times (W1)" w:eastAsia="Times New Roman" w:hAnsi="CG Times (W1)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rsid w:val="00F0549C"/>
    <w:pPr>
      <w:tabs>
        <w:tab w:val="left" w:pos="244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rsid w:val="00F0549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rsid w:val="00F054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7Car">
    <w:name w:val="Titre 7 Car"/>
    <w:rsid w:val="00F0549C"/>
    <w:rPr>
      <w:rFonts w:ascii="Cambria" w:eastAsia="Times New Roman" w:hAnsi="Cambria" w:cs="Times New Roman"/>
      <w:i/>
      <w:iCs/>
      <w:color w:val="404040"/>
    </w:rPr>
  </w:style>
  <w:style w:type="character" w:customStyle="1" w:styleId="Titre1Car">
    <w:name w:val="Titre 1 Car"/>
    <w:basedOn w:val="Policepardfaut"/>
    <w:link w:val="Titre1"/>
    <w:uiPriority w:val="9"/>
    <w:rsid w:val="00F8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a3">
    <w:name w:val="Pa3"/>
    <w:basedOn w:val="Normal"/>
    <w:next w:val="Normal"/>
    <w:uiPriority w:val="99"/>
    <w:rsid w:val="0082227B"/>
    <w:pPr>
      <w:suppressAutoHyphens w:val="0"/>
      <w:autoSpaceDE w:val="0"/>
      <w:adjustRightInd w:val="0"/>
      <w:spacing w:after="0" w:line="241" w:lineRule="atLeast"/>
      <w:textAlignment w:val="auto"/>
    </w:pPr>
    <w:rPr>
      <w:rFonts w:ascii="Bree Lt" w:eastAsia="Times New Roman" w:hAnsi="Bree Lt" w:cs="Times New Roman"/>
      <w:sz w:val="24"/>
      <w:szCs w:val="24"/>
      <w:lang w:eastAsia="fr-FR"/>
    </w:rPr>
  </w:style>
  <w:style w:type="character" w:customStyle="1" w:styleId="A2">
    <w:name w:val="A2"/>
    <w:uiPriority w:val="99"/>
    <w:rsid w:val="0082227B"/>
    <w:rPr>
      <w:rFonts w:cs="Bree Lt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C7B4E"/>
    <w:rPr>
      <w:color w:val="0000FF" w:themeColor="hyperlink"/>
      <w:u w:val="single"/>
    </w:rPr>
  </w:style>
  <w:style w:type="character" w:customStyle="1" w:styleId="A3">
    <w:name w:val="A3"/>
    <w:uiPriority w:val="99"/>
    <w:rsid w:val="00114F10"/>
    <w:rPr>
      <w:rFonts w:cs="Bree Lt"/>
      <w:color w:val="000000"/>
      <w:sz w:val="18"/>
      <w:szCs w:val="18"/>
      <w:u w:val="single"/>
    </w:rPr>
  </w:style>
  <w:style w:type="paragraph" w:styleId="Normalcentr">
    <w:name w:val="Block Text"/>
    <w:basedOn w:val="Normal"/>
    <w:rsid w:val="003B10DC"/>
    <w:pPr>
      <w:tabs>
        <w:tab w:val="left" w:pos="8931"/>
      </w:tabs>
      <w:suppressAutoHyphens w:val="0"/>
      <w:autoSpaceDN/>
      <w:spacing w:after="0" w:line="240" w:lineRule="auto"/>
      <w:ind w:left="567" w:right="850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ec.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BELAYACHI</dc:creator>
  <cp:lastModifiedBy>MARIA BELAYACHI</cp:lastModifiedBy>
  <cp:revision>2</cp:revision>
  <cp:lastPrinted>2023-06-23T09:06:00Z</cp:lastPrinted>
  <dcterms:created xsi:type="dcterms:W3CDTF">2023-06-27T11:48:00Z</dcterms:created>
  <dcterms:modified xsi:type="dcterms:W3CDTF">2023-06-27T11:48:00Z</dcterms:modified>
</cp:coreProperties>
</file>